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eiti SC"/>
          <w:lang w:eastAsia="zh-CN"/>
          <w:lang w:eastAsia="zh-CN"/>
        </w:rPr>
        <w:t>韩泰机器人话轮检测方案对比</w:t>
      </w:r>
    </w:p>
    <w:p>
      <w:pPr>
        <w:pStyle w:val="Subtitle"/>
      </w:pPr>
      <w:r>
        <w:rPr>
          <w:rFonts w:ascii="Arial" w:hAnsi="Arial" w:eastAsia="Heiti SC"/>
          <w:lang w:eastAsia="zh-CN"/>
          <w:lang w:eastAsia="zh-CN"/>
        </w:rPr>
        <w:t>工程选型参考  2026年10月14日</w:t>
      </w:r>
    </w:p>
    <w:p>
      <w:r>
        <w:rPr>
          <w:rFonts w:ascii="Arial" w:hAnsi="Arial" w:eastAsia="Heiti SC"/>
          <w:b/>
          <w:lang w:eastAsia="zh-CN"/>
          <w:lang w:eastAsia="zh-CN"/>
        </w:rPr>
        <w:t xml:space="preserve">建议  </w:t>
      </w:r>
      <w:r>
        <w:rPr>
          <w:rFonts w:ascii="Arial" w:hAnsi="Arial" w:eastAsia="Heiti SC"/>
          <w:lang w:eastAsia="zh-CN"/>
          <w:lang w:eastAsia="zh-CN"/>
        </w:rPr>
        <w:t>优先用 MaAI 0.5 做旁路验证，再灰度接管回复判断；Smart Turn 0.8 保留为单声道对照。SoulX-Duplug 在本次配置下未显示质量或延迟优势，暂不进入首期主链路。</w:t>
      </w:r>
    </w:p>
    <w:p>
      <w:pPr>
        <w:pStyle w:val="Heading1"/>
      </w:pPr>
      <w:r>
        <w:rPr>
          <w:rFonts w:ascii="Arial" w:hAnsi="Arial" w:eastAsia="Heiti SC"/>
          <w:lang w:eastAsia="zh-CN"/>
          <w:lang w:eastAsia="zh-CN"/>
        </w:rPr>
        <w:t>同一批标注点上的判断表现</w:t>
      </w:r>
    </w:p>
    <w:p>
      <w:pPr>
        <w:spacing w:line="264" w:lineRule="auto" w:after="80"/>
      </w:pPr>
      <w:r>
        <w:rPr>
          <w:rFonts w:ascii="Arial" w:hAnsi="Arial" w:eastAsia="Heiti SC"/>
          <w:sz w:val="18"/>
          <w:lang w:eastAsia="zh-CN"/>
          <w:lang w:eastAsia="zh-CN"/>
        </w:rPr>
        <w:t>6通录音共44点，可以回复与需要等待各22点；只评估 can_reply，不加入结束信号或超时放行。误放行是不该回复却放行，误阻止是本可回复却等待。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969"/>
        <w:gridCol w:w="1304"/>
        <w:gridCol w:w="2296"/>
        <w:gridCol w:w="2296"/>
      </w:tblGrid>
      <w:tr>
        <w:trPr>
          <w:tblHeader/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模型与判定规则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准确率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误放行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误阻止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MaAI  1 − p_now[用户] &gt; 0.50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75.0%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7/22  (31.8%)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4/22  (18.2%)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MaAI  1 − p_now[用户] &gt; 0.80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63.6%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4/22  (18.2%)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12/22  (54.5%)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MaAI  1 − p_now[用户] &gt; 0.11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61.4%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17/22  (77.3%)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0/22  (0.0%)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Smart Turn  分数 &gt; 0.50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59.1%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18/22  (81.8%)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0/22  (0.0%)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Smart Turn  分数 &gt; 0.80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63.6%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16/22  (72.7%)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0/22  (0.0%)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SoulX-Duplug  原生状态派生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59.1%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14/22  (63.6%)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4/22  (18.2%)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SoulX-Duplug  条件完成分数 &gt; 0.50</w:t>
            </w:r>
          </w:p>
        </w:tc>
        <w:tc>
          <w:tcPr>
            <w:tcW w:type="dxa" w:w="130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52.3%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21/22  (95.5%)</w:t>
            </w:r>
          </w:p>
        </w:tc>
        <w:tc>
          <w:tcPr>
            <w:tcW w:type="dxa" w:w="2296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0/22  (0.0%)</w:t>
            </w:r>
          </w:p>
        </w:tc>
      </w:tr>
    </w:tbl>
    <w:p>
      <w:pPr>
        <w:spacing w:line="264" w:lineRule="auto" w:after="80"/>
      </w:pPr>
      <w:r>
        <w:rPr>
          <w:rFonts w:ascii="Arial" w:hAnsi="Arial" w:eastAsia="Heiti SC"/>
          <w:sz w:val="18"/>
          <w:lang w:eastAsia="zh-CN"/>
          <w:lang w:eastAsia="zh-CN"/>
        </w:rPr>
        <w:t>MaAI 的 p_now 预测未来0—600ms双方相对发声倾向，以上是接话分数映射，非校准EOT概率；三个阈值与原机器人分数的判断在本批完全一致。SoulX原生状态派生：complete置允许，incomplete/nonidle置等待，idle/backchannel保持；条件完成分数只在complete/incomplete间归一化，不能代表完整官方策略。</w:t>
      </w:r>
    </w:p>
    <w:p>
      <w:pPr>
        <w:pStyle w:val="Heading1"/>
      </w:pPr>
      <w:r>
        <w:rPr>
          <w:rFonts w:ascii="Arial" w:hAnsi="Arial" w:eastAsia="Heiti SC"/>
          <w:lang w:eastAsia="zh-CN"/>
          <w:lang w:eastAsia="zh-CN"/>
        </w:rPr>
        <w:t>输入要求与已测计算成本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531"/>
        <w:gridCol w:w="2835"/>
        <w:gridCol w:w="3005"/>
        <w:gridCol w:w="2494"/>
      </w:tblGrid>
      <w:tr>
        <w:trPr>
          <w:tblHeader/>
          <w:cantSplit/>
        </w:trPr>
        <w:tc>
          <w:tcPr>
            <w:tcW w:type="dxa" w:w="153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模型</w:t>
            </w:r>
          </w:p>
        </w:tc>
        <w:tc>
          <w:tcPr>
            <w:tcW w:type="dxa" w:w="283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音频与上下文</w:t>
            </w:r>
          </w:p>
        </w:tc>
        <w:tc>
          <w:tcPr>
            <w:tcW w:type="dxa" w:w="300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实际运行环境</w:t>
            </w:r>
          </w:p>
        </w:tc>
        <w:tc>
          <w:tcPr>
            <w:tcW w:type="dxa" w:w="249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  <w:shd w:fill="E5EDF3"/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/>
                <w:sz w:val="19"/>
                <w:lang w:eastAsia="zh-CN"/>
              </w:rPr>
              <w:t>平均 / P95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MaAI</w:t>
            </w:r>
          </w:p>
        </w:tc>
        <w:tc>
          <w:tcPr>
            <w:tcW w:type="dxa" w:w="283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双路16kHz  20秒缓存</w:t>
              <w:br/>
              <w:t>每100ms增量更新</w:t>
            </w:r>
          </w:p>
        </w:tc>
        <w:tc>
          <w:tcPr>
            <w:tcW w:type="dxa" w:w="300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Apple M4  CPU4线程</w:t>
              <w:br/>
              <w:t>本机独立uv环境</w:t>
            </w:r>
          </w:p>
        </w:tc>
        <w:tc>
          <w:tcPr>
            <w:tcW w:type="dxa" w:w="249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4.91 / 5.39 ms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Smart Turn v3.2</w:t>
            </w:r>
          </w:p>
        </w:tc>
        <w:tc>
          <w:tcPr>
            <w:tcW w:type="dxa" w:w="283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用户单路16kHz  最多8秒</w:t>
              <w:br/>
              <w:t>按候选判断点执行</w:t>
            </w:r>
          </w:p>
        </w:tc>
        <w:tc>
          <w:tcPr>
            <w:tcW w:type="dxa" w:w="300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Apple M4  CPU4线程</w:t>
              <w:br/>
              <w:t>本机独立uv环境</w:t>
            </w:r>
          </w:p>
        </w:tc>
        <w:tc>
          <w:tcPr>
            <w:tcW w:type="dxa" w:w="249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11.69 / 12.56 ms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SoulX-Duplug</w:t>
            </w:r>
          </w:p>
        </w:tc>
        <w:tc>
          <w:tcPr>
            <w:tcW w:type="dxa" w:w="283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用户单路16kHz  最多20秒</w:t>
              <w:br/>
              <w:t>每160ms更新 含内部ASR</w:t>
            </w:r>
          </w:p>
        </w:tc>
        <w:tc>
          <w:tcPr>
            <w:tcW w:type="dxa" w:w="3005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left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2033lab04ztr  RTX3090</w:t>
              <w:br/>
              <w:t>FP32  独立Conda环境</w:t>
            </w:r>
          </w:p>
        </w:tc>
        <w:tc>
          <w:tcPr>
            <w:tcW w:type="dxa" w:w="2494"/>
            <w:vAlign w:val="center"/>
            <w:tcMar>
              <w:top w:w="65" w:type="dxa"/>
              <w:bottom w:w="65" w:type="dxa"/>
              <w:left w:w="95" w:type="dxa"/>
              <w:right w:w="95" w:type="dxa"/>
            </w:tcMar>
          </w:tcPr>
          <w:p>
            <w:pPr>
              <w:spacing w:after="0" w:before="0" w:line="259" w:lineRule="auto"/>
              <w:jc w:val="center"/>
            </w:pPr>
            <w:r>
              <w:rPr>
                <w:rFonts w:ascii="Arial" w:hAnsi="Arial" w:eastAsia="Heiti SC"/>
                <w:b w:val="0"/>
                <w:sz w:val="19"/>
                <w:lang w:eastAsia="zh-CN"/>
              </w:rPr>
              <w:t>117.67 / 211.01 ms</w:t>
            </w:r>
          </w:p>
        </w:tc>
      </w:tr>
    </w:tbl>
    <w:p>
      <w:pPr>
        <w:spacing w:line="264" w:lineRule="auto" w:after="80"/>
      </w:pPr>
      <w:r>
        <w:rPr>
          <w:rFonts w:ascii="Arial" w:hAnsi="Arial" w:eastAsia="Heiti SC"/>
          <w:sz w:val="18"/>
          <w:lang w:eastAsia="zh-CN"/>
          <w:lang w:eastAsia="zh-CN"/>
        </w:rPr>
        <w:t>延迟为预热后单路计算，不含静音等待、网络及LLM/TTS；MaAI另有100ms调度和重采样成本，Smart Turn已含重采样。硬件与单次工作量不同，不能据此推算同机排名或并发容量；SoulX有21.8%的帧计算超过160ms周期。</w:t>
      </w:r>
    </w:p>
    <w:p>
      <w:pPr>
        <w:pStyle w:val="Heading1"/>
      </w:pPr>
      <w:r>
        <w:rPr>
          <w:rFonts w:ascii="Arial" w:hAnsi="Arial" w:eastAsia="Heiti SC"/>
          <w:lang w:eastAsia="zh-CN"/>
          <w:lang w:eastAsia="zh-CN"/>
        </w:rPr>
        <w:t>选型边界与下一步</w:t>
      </w:r>
    </w:p>
    <w:p>
      <w:r>
        <w:rPr>
          <w:rFonts w:ascii="Arial" w:hAnsi="Arial" w:eastAsia="Heiti SC"/>
          <w:lang w:eastAsia="zh-CN"/>
          <w:lang w:eastAsia="zh-CN"/>
        </w:rPr>
        <w:t>MaAI 0.5比Smart Turn 0.5少11个误放行，代价是新增4个误阻止。追求本批零误阻止时，MaAI 0.11仍误放行17点，Smart Turn 0.8为16点；不能只看准确率或照搬相同阈值。</w:t>
      </w:r>
    </w:p>
    <w:p>
      <w:pPr>
        <w:spacing w:line="264" w:lineRule="auto" w:after="80"/>
      </w:pPr>
      <w:r>
        <w:rPr>
          <w:rFonts w:ascii="Arial" w:hAnsi="Arial" w:eastAsia="Heiti SC"/>
          <w:sz w:val="18"/>
          <w:lang w:eastAsia="zh-CN"/>
          <w:lang w:eastAsia="zh-CN"/>
        </w:rPr>
        <w:t>29点为草稿、15点无明确审核信息，且有2处ASR对齐疑点。0.11阈值在本批选定，不保证新数据零误阻止。以上为独立窗口点级评估，不能当作线上抢话率；须复核标签并用独立会话连续回放验证。</w:t>
      </w:r>
    </w:p>
    <w:p>
      <w:pPr>
        <w:spacing w:line="264" w:lineRule="auto" w:after="80"/>
      </w:pPr>
      <w:r>
        <w:rPr>
          <w:rFonts w:ascii="Arial" w:hAnsi="Arial" w:eastAsia="Heiti SC"/>
          <w:sz w:val="18"/>
          <w:lang w:eastAsia="zh-CN"/>
        </w:rPr>
        <w:t>依据  experiments/soulx-duplug/results/对比分析.txt</w:t>
        <w:br/>
        <w:t>原始汇总  experiments/soulx-duplug/results/comparison-summary.json</w:t>
        <w:br/>
        <w:t>连续曲线  见下一页两图与简评；其上下文状态与独立点评估不同。</w:t>
      </w:r>
    </w:p>
    <w:p>
      <w:pPr>
        <w:pStyle w:val="Heading1"/>
        <w:pageBreakBefore/>
        <w:spacing w:before="0"/>
      </w:pPr>
      <w:r>
        <w:rPr>
          <w:rFonts w:ascii="Arial" w:hAnsi="Arial" w:eastAsia="Heiti SC"/>
          <w:lang w:eastAsia="zh-CN"/>
        </w:rPr>
        <w:t>同一通录音的时间轴可视化</w:t>
      </w:r>
    </w:p>
    <w:p>
      <w:pPr>
        <w:spacing w:after="120" w:line="264" w:lineRule="auto"/>
      </w:pPr>
      <w:r>
        <w:rPr>
          <w:rFonts w:ascii="Arial" w:hAnsi="Arial" w:eastAsia="Heiti SC"/>
          <w:b w:val="0"/>
          <w:sz w:val="19"/>
          <w:lang w:eastAsia="zh-CN"/>
        </w:rPr>
        <w:t>示例为韩泰第6通录音 e304f740，含7个原标注点。实线为连续回放分数，空心点为原标注点的独立窗口分数；以下误判计数按空心点评分统计，未加入VAD或3秒静默兜底。</w:t>
      </w:r>
    </w:p>
    <w:p>
      <w:pPr>
        <w:keepNext/>
        <w:spacing w:after="60" w:line="240" w:lineRule="auto"/>
        <w:jc w:val="center"/>
      </w:pPr>
      <w:r>
        <w:rPr>
          <w:rFonts w:ascii="Arial" w:hAnsi="Arial" w:eastAsia="Heiti SC"/>
          <w:sz w:val="2"/>
          <w:lang w:eastAsia="zh-CN"/>
        </w:rPr>
        <w:drawing>
          <wp:inline xmlns:a="http://schemas.openxmlformats.org/drawingml/2006/main" xmlns:pic="http://schemas.openxmlformats.org/drawingml/2006/picture">
            <wp:extent cx="6263999" cy="3294733"/>
            <wp:docPr id="1" name="Picture 1" descr="图1 MaAI连续分数时间轴，紫色，参考阈值0.8；同通录音的波形、转写、判断点和原标注点评分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dex-clipboard-a293d3cf-5ce1-4236-a749-ece384764f7c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2947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264" w:lineRule="auto"/>
      </w:pPr>
      <w:r>
        <w:rPr>
          <w:rFonts w:ascii="Arial" w:hAnsi="Arial" w:eastAsia="Heiti SC"/>
          <w:b w:val="0"/>
          <w:sz w:val="19"/>
          <w:lang w:eastAsia="zh-CN"/>
        </w:rPr>
        <w:t>图1  MaAI 参考阈值0.8。原7点中，3个等待点均正确拦截，4个可回复点均被误阻止。这一配置在此通较保守；连续曲线随双方发声变化，机器人播放时的高分不能直接解释为适合插话。</w:t>
      </w:r>
    </w:p>
    <w:p>
      <w:pPr>
        <w:keepNext/>
        <w:spacing w:after="60" w:line="240" w:lineRule="auto"/>
        <w:jc w:val="center"/>
      </w:pPr>
      <w:r>
        <w:rPr>
          <w:rFonts w:ascii="Arial" w:hAnsi="Arial" w:eastAsia="Heiti SC"/>
          <w:sz w:val="2"/>
          <w:lang w:eastAsia="zh-CN"/>
        </w:rPr>
        <w:drawing>
          <wp:inline xmlns:a="http://schemas.openxmlformats.org/drawingml/2006/main" xmlns:pic="http://schemas.openxmlformats.org/drawingml/2006/picture">
            <wp:extent cx="6263999" cy="3239654"/>
            <wp:docPr id="2" name="Picture 2" descr="图2 Smart Turn连续分数时间轴，青色，参考阈值0.5；同通录音的波形、转写、判断点和原标注点评分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dex-clipboard-d4af2241-1ee9-4820-b4bf-bf3fceaa35d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239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 w:line="264" w:lineRule="auto"/>
      </w:pPr>
      <w:r>
        <w:rPr>
          <w:rFonts w:ascii="Arial" w:hAnsi="Arial" w:eastAsia="Heiti SC"/>
          <w:b w:val="0"/>
          <w:sz w:val="19"/>
          <w:lang w:eastAsia="zh-CN"/>
        </w:rPr>
        <w:t>图2  Smart Turn 参考阈值0.5。原4个可回复点均放行，3个等待点中误放行1点：40.701秒“帕萨特”的原点评分为0.988，说明对短语内停顿仍有误放行风险。</w:t>
      </w:r>
    </w:p>
    <w:p>
      <w:pPr>
        <w:spacing w:after="120" w:line="264" w:lineRule="auto"/>
      </w:pPr>
      <w:r>
        <w:rPr>
          <w:rFonts w:ascii="Arial" w:hAnsi="Arial" w:eastAsia="Heiti SC"/>
          <w:b w:val="0"/>
          <w:sz w:val="18"/>
          <w:lang w:eastAsia="zh-CN"/>
        </w:rPr>
        <w:t>评估说明  两图阈值和模型任务不同，应结合第1页44点统计看取舍，不能凭一通曲线推广总体。连续状态与原独立窗口不同，空心点可能偏离实线；上述7点计数不代表连续策略的线上抢话率。</w:t>
      </w:r>
    </w:p>
    <w:sectPr w:rsidR="00FC693F" w:rsidRPr="0006063C" w:rsidSect="00034616">
      <w:pgSz w:w="11906" w:h="16838"/>
      <w:pgMar w:top="935" w:right="1020" w:bottom="935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1" w:lineRule="auto" w:after="100"/>
    </w:pPr>
    <w:rPr>
      <w:rFonts w:ascii="Arial" w:hAnsi="Arial" w:eastAsia="Heiti SC"/>
      <w:b w:val="0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 w:eastAsia="Heiti SC"/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="Arial" w:hAnsi="Arial" w:eastAsia="Heiti SC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00"/>
    </w:pPr>
    <w:rPr>
      <w:rFonts w:ascii="Arial" w:hAnsi="Arial" w:eastAsia="Heiti SC"/>
      <w:b w:val="0"/>
      <w:i w:val="0"/>
      <w:iCs/>
      <w:color w:val="000000"/>
      <w:spacing w:val="15"/>
      <w:sz w:val="19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韩泰机器人话轮检测方案对比</dc:title>
  <dc:subject>韩泰机器人 can_reply 话轮检测工程资料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