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Heiti SC"/>
          <w:lang w:eastAsia="zh-CN"/>
        </w:rPr>
        <w:t>韩泰机器人话轮检测工程实施方案</w:t>
      </w:r>
    </w:p>
    <w:p>
      <w:pPr>
        <w:pStyle w:val="Subtitle"/>
      </w:pPr>
      <w:r>
        <w:rPr>
          <w:rFonts w:ascii="Arial" w:hAnsi="Arial" w:eastAsia="Heiti SC"/>
          <w:lang w:eastAsia="zh-CN"/>
        </w:rPr>
        <w:t>首期接入设计  MaAI主方案  Smart Turn对照  2026年10月14日</w:t>
      </w:r>
    </w:p>
    <w:p>
      <w:r>
        <w:rPr>
          <w:rFonts w:ascii="Arial" w:hAnsi="Arial" w:eastAsia="Heiti SC"/>
          <w:lang w:eastAsia="zh-CN"/>
        </w:rPr>
        <w:t>在现有 ASR–LLM–TTS 流程中增加回复闸门，减少用户停顿时被抢话。先旁路记录再灰度生效，只实现 can_reply；打断播放和会话结束沿用现有逻辑。当前已具备离线评估与EOT Studio回放，下述在线服务与闸门为待实施设计。</w:t>
      </w:r>
    </w:p>
    <w:p>
      <w:pPr>
        <w:pStyle w:val="Heading1"/>
      </w:pPr>
      <w:r>
        <w:rPr>
          <w:rFonts w:ascii="Arial" w:hAnsi="Arial" w:eastAsia="Heiti SC"/>
          <w:lang w:eastAsia="zh-CN"/>
        </w:rPr>
        <w:t>一 接入位置与音频</w:t>
      </w:r>
    </w:p>
    <w:p>
      <w:r>
        <w:rPr>
          <w:rFonts w:ascii="Arial" w:hAnsi="Arial" w:eastAsia="Heiti SC"/>
          <w:lang w:eastAsia="zh-CN"/>
        </w:rPr>
        <w:t>主链路  用户音频 → ASR → 回复闸门 → LLM → TTS</w:t>
        <w:br/>
        <w:t>旁路输入  用户音频与实际播放的TTS → MaAI持续评分 → 回复闸门</w:t>
      </w:r>
    </w:p>
    <w:p>
      <w:r>
        <w:rPr>
          <w:rFonts w:ascii="Arial" w:hAnsi="Arial" w:eastAsia="Heiti SC"/>
          <w:lang w:eastAsia="zh-CN"/>
        </w:rPr>
        <w:t>媒体层输出两路同步16kHz float32音频：用户侧尽量经回声处理，机器人侧取实际播放参考。按100ms分块，每路1600采样；机器人未播放时补同长度静音，不能提前送入已生成但尚未播放的TTS。MaAI按会话保留20秒缓存，短暂停顿不重建模型。</w:t>
      </w:r>
    </w:p>
    <w:p>
      <w:pPr>
        <w:spacing w:line="264" w:lineRule="auto" w:after="80"/>
      </w:pPr>
      <w:r>
        <w:rPr>
          <w:rFonts w:ascii="Arial" w:hAnsi="Arial" w:eastAsia="Heiti SC"/>
          <w:sz w:val="18"/>
          <w:lang w:eastAsia="zh-CN"/>
        </w:rPr>
        <w:t>Smart Turn作为可替换对照：用户单路，用户块起点前保留500ms，最多取最近8秒；3秒内续说延续原起点，有完整机器人问答分隔则开新块。在线使用已收到的VAD/ASR时间事件，禁止读取未来音频或最终整句转写。</w:t>
      </w:r>
    </w:p>
    <w:p>
      <w:pPr>
        <w:pStyle w:val="Heading1"/>
      </w:pPr>
      <w:r>
        <w:rPr>
          <w:rFonts w:ascii="Arial" w:hAnsi="Arial" w:eastAsia="Heiti SC"/>
          <w:lang w:eastAsia="zh-CN"/>
        </w:rPr>
        <w:t>二 服务接口与状态归属</w:t>
      </w:r>
    </w:p>
    <w:p>
      <w:r>
        <w:rPr>
          <w:rFonts w:ascii="Arial" w:hAnsi="Arial" w:eastAsia="Heiti SC"/>
          <w:lang w:eastAsia="zh-CN"/>
        </w:rPr>
        <w:t>建议使用WebSocket长连接。输入call_id、turn_id、seq、audio_end_ms，以及同步的user_pcm和robot_pcm。服务启动加载并预热模型；按call_id隔离音频、重采样状态和模型缓存，同一会话串行处理。会话结束释放资源。</w:t>
      </w:r>
    </w:p>
    <w:p>
      <w:r>
        <w:rPr>
          <w:rFonts w:ascii="Arial" w:hAnsi="Arial" w:eastAsia="Heiti SC"/>
          <w:lang w:eastAsia="zh-CN"/>
        </w:rPr>
        <w:t>输出  原样携带call_id、turn_id、seq、audio_end_ms，返回score、can_reply、model_version、policy_version和infer_ms。MaAI score = 1 − p_now[用户]，初始阈值0.5；阈值与参考时刻必须记录，分数不称为校准概率。</w:t>
      </w:r>
    </w:p>
    <w:p>
      <w:pPr>
        <w:pStyle w:val="Heading1"/>
      </w:pPr>
      <w:r>
        <w:rPr>
          <w:rFonts w:ascii="Arial" w:hAnsi="Arial" w:eastAsia="Heiti SC"/>
          <w:lang w:eastAsia="zh-CN"/>
        </w:rPr>
        <w:t>三 回复闸门与并发保护</w:t>
      </w:r>
    </w:p>
    <w:p>
      <w:r>
        <w:rPr>
          <w:rFonts w:ascii="Arial" w:hAnsi="Arial" w:eastAsia="Heiti SC"/>
          <w:b/>
          <w:lang w:eastAsia="zh-CN"/>
        </w:rPr>
        <w:t xml:space="preserve">候选判断  </w:t>
      </w:r>
      <w:r>
        <w:rPr>
          <w:rFonts w:ascii="Arial" w:hAnsi="Arial" w:eastAsia="Heiti SC"/>
          <w:lang w:eastAsia="zh-CN"/>
        </w:rPr>
        <w:t>复用现有静音候选时刻，只在用户已停说且机器人未播放时判断。检查评分对应最新音频且未过期；score &gt; 0.5允许，否则继续等待。静音触发、有效期和重试频率均可配置，模型分数本身不主动启动回复。</w:t>
      </w:r>
    </w:p>
    <w:p>
      <w:r>
        <w:rPr>
          <w:rFonts w:ascii="Arial" w:hAnsi="Arial" w:eastAsia="Heiti SC"/>
          <w:b/>
          <w:lang w:eastAsia="zh-CN"/>
        </w:rPr>
        <w:t xml:space="preserve">避免抢话  </w:t>
      </w:r>
      <w:r>
        <w:rPr>
          <w:rFonts w:ascii="Arial" w:hAnsi="Arial" w:eastAsia="Heiti SC"/>
          <w:lang w:eastAsia="zh-CN"/>
        </w:rPr>
        <w:t>用户恢复说话即撤销候选，更新turn_id或seq。提交LLM和播放TTS前再次核对候选标识、音频进度及用户/机器人状态；同一turn只允许一次提交，丢弃迟到结果。续说继续积累上下文，不因模型暂判未结束而清空。</w:t>
      </w:r>
    </w:p>
    <w:p>
      <w:r>
        <w:rPr>
          <w:rFonts w:ascii="Arial" w:hAnsi="Arial" w:eastAsia="Heiti SC"/>
          <w:b/>
          <w:lang w:eastAsia="zh-CN"/>
        </w:rPr>
        <w:t xml:space="preserve">异常处理  </w:t>
      </w:r>
      <w:r>
        <w:rPr>
          <w:rFonts w:ascii="Arial" w:hAnsi="Arial" w:eastAsia="Heiti SC"/>
          <w:lang w:eastAsia="zh-CN"/>
        </w:rPr>
        <w:t>缺帧、评分过期、超时或模型不可用时回退现有业务策略，记录fallback原因。人工强制回复或超时回复单独计数，不能记为模型判断成功。</w:t>
      </w:r>
    </w:p>
    <w:p>
      <w:pPr>
        <w:pStyle w:val="Heading1"/>
      </w:pPr>
      <w:r>
        <w:rPr>
          <w:rFonts w:ascii="Arial" w:hAnsi="Arial" w:eastAsia="Heiti SC"/>
          <w:lang w:eastAsia="zh-CN"/>
        </w:rPr>
        <w:t>四 交付顺序与验收</w:t>
      </w:r>
    </w:p>
    <w:p>
      <w:r>
        <w:rPr>
          <w:rFonts w:ascii="Arial" w:hAnsi="Arial" w:eastAsia="Heiti SC"/>
          <w:lang w:eastAsia="zh-CN"/>
        </w:rPr>
        <w:t>① 媒体与模型  完成双路时间对齐、独立推理进程及会话隔离；测断流、乱序、长会话和多会话并发。</w:t>
        <w:br/>
        <w:t>② 策略与观测  先仅记录，不改变回复；日志关联候选时刻、分数、判定、实际播放及用户续说，导入EOT Studio回听。</w:t>
        <w:br/>
        <w:t>③ 复核与灰度  双人复核44点并增加独立会话测试集，再小流量启用；保留开关，可立即回到现有回复策略。</w:t>
      </w:r>
    </w:p>
    <w:p>
      <w:pPr>
        <w:spacing w:line="264" w:lineRule="auto" w:after="80"/>
      </w:pPr>
      <w:r>
        <w:rPr>
          <w:rFonts w:ascii="Arial" w:hAnsi="Arial" w:eastAsia="Heiti SC"/>
          <w:sz w:val="18"/>
          <w:lang w:eastAsia="zh-CN"/>
        </w:rPr>
        <w:t>准入条件  在相同业务候选时刻，误放行低于现网，误阻止、额外等待及异常回退率满足双方约定预算；在目标并发下测端到端P95/P99和队列积压。单路MaAI计算P95 5.39ms仅作容量起点，不能用离线75%准确率替代上线验收。</w:t>
      </w:r>
    </w:p>
    <w:sectPr w:rsidR="00FC693F" w:rsidRPr="0006063C" w:rsidSect="00034616">
      <w:pgSz w:w="11906" w:h="16838"/>
      <w:pgMar w:top="935" w:right="1020" w:bottom="935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1" w:lineRule="auto" w:after="100"/>
    </w:pPr>
    <w:rPr>
      <w:rFonts w:ascii="Arial" w:hAnsi="Arial" w:eastAsia="Heiti SC"/>
      <w:b w:val="0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 w:eastAsia="Heiti SC"/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Arial" w:hAnsi="Arial" w:eastAsia="Heiti SC"/>
      <w:b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00"/>
    </w:pPr>
    <w:rPr>
      <w:rFonts w:ascii="Arial" w:hAnsi="Arial" w:eastAsia="Heiti SC"/>
      <w:b w:val="0"/>
      <w:i w:val="0"/>
      <w:iCs/>
      <w:color w:val="000000"/>
      <w:spacing w:val="15"/>
      <w:sz w:val="19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韩泰机器人话轮检测工程实施方案</dc:title>
  <dc:subject>韩泰机器人 can_reply 话轮检测工程资料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